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rPr>
          <w:b w:val="1"/>
          <w:color w:val="212121"/>
          <w:u w:val="single"/>
        </w:rPr>
      </w:pPr>
      <w:r w:rsidDel="00000000" w:rsidR="00000000" w:rsidRPr="00000000">
        <w:rPr>
          <w:b w:val="1"/>
          <w:color w:val="212121"/>
          <w:u w:val="single"/>
          <w:rtl w:val="0"/>
        </w:rPr>
        <w:t xml:space="preserve">Siaran Pers</w:t>
      </w:r>
    </w:p>
    <w:p w:rsidR="00000000" w:rsidDel="00000000" w:rsidP="00000000" w:rsidRDefault="00000000" w:rsidRPr="00000000" w14:paraId="00000002">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right"/>
        <w:rPr>
          <w:i w:val="1"/>
          <w:color w:val="212121"/>
        </w:rPr>
      </w:pPr>
      <w:r w:rsidDel="00000000" w:rsidR="00000000" w:rsidRPr="00000000">
        <w:rPr>
          <w:i w:val="1"/>
          <w:color w:val="212121"/>
          <w:rtl w:val="0"/>
        </w:rPr>
        <w:tab/>
        <w:tab/>
        <w:tab/>
        <w:tab/>
        <w:tab/>
        <w:tab/>
        <w:tab/>
        <w:t xml:space="preserve">Untuk Segera Didistribusikan</w:t>
      </w:r>
    </w:p>
    <w:p w:rsidR="00000000" w:rsidDel="00000000" w:rsidP="00000000" w:rsidRDefault="00000000" w:rsidRPr="00000000" w14:paraId="00000003">
      <w:pPr>
        <w:jc w:val="center"/>
        <w:rPr>
          <w:b w:val="1"/>
          <w:sz w:val="24"/>
          <w:szCs w:val="24"/>
        </w:rPr>
      </w:pPr>
      <w:r w:rsidDel="00000000" w:rsidR="00000000" w:rsidRPr="00000000">
        <w:rPr>
          <w:b w:val="1"/>
          <w:color w:val="ff0000"/>
          <w:sz w:val="24"/>
          <w:szCs w:val="24"/>
          <w:rtl w:val="0"/>
        </w:rPr>
        <w:t xml:space="preserve">SCG </w:t>
      </w:r>
      <w:r w:rsidDel="00000000" w:rsidR="00000000" w:rsidRPr="00000000">
        <w:rPr>
          <w:b w:val="1"/>
          <w:color w:val="000000"/>
          <w:sz w:val="24"/>
          <w:szCs w:val="24"/>
          <w:rtl w:val="0"/>
        </w:rPr>
        <w:t xml:space="preserve">Telah Menyelesaikan Transaksi Pemesanan Efek Terlebih Dahulu (</w:t>
      </w:r>
      <w:r w:rsidDel="00000000" w:rsidR="00000000" w:rsidRPr="00000000">
        <w:rPr>
          <w:b w:val="1"/>
          <w:i w:val="1"/>
          <w:color w:val="000000"/>
          <w:sz w:val="24"/>
          <w:szCs w:val="24"/>
          <w:rtl w:val="0"/>
        </w:rPr>
        <w:t xml:space="preserve">Right Issue</w:t>
      </w:r>
      <w:r w:rsidDel="00000000" w:rsidR="00000000" w:rsidRPr="00000000">
        <w:rPr>
          <w:b w:val="1"/>
          <w:color w:val="000000"/>
          <w:sz w:val="24"/>
          <w:szCs w:val="24"/>
          <w:rtl w:val="0"/>
        </w:rPr>
        <w:t xml:space="preserve">) Saham CSAP </w:t>
      </w:r>
      <w:r w:rsidDel="00000000" w:rsidR="00000000" w:rsidRPr="00000000">
        <w:rPr>
          <w:b w:val="1"/>
          <w:sz w:val="24"/>
          <w:szCs w:val="24"/>
          <w:rtl w:val="0"/>
        </w:rPr>
        <w:t xml:space="preserve">senilai Rp265 miliar</w:t>
      </w:r>
    </w:p>
    <w:p w:rsidR="00000000" w:rsidDel="00000000" w:rsidP="00000000" w:rsidRDefault="00000000" w:rsidRPr="00000000" w14:paraId="00000004">
      <w:pPr>
        <w:jc w:val="center"/>
        <w:rPr>
          <w:b w:val="1"/>
          <w:sz w:val="24"/>
          <w:szCs w:val="24"/>
        </w:rPr>
      </w:pPr>
      <w:r w:rsidDel="00000000" w:rsidR="00000000" w:rsidRPr="00000000">
        <w:rPr>
          <w:rtl w:val="0"/>
        </w:rPr>
      </w:r>
    </w:p>
    <w:p w:rsidR="00000000" w:rsidDel="00000000" w:rsidP="00000000" w:rsidRDefault="00000000" w:rsidRPr="00000000" w14:paraId="00000005">
      <w:pPr>
        <w:jc w:val="center"/>
        <w:rPr>
          <w:i w:val="1"/>
          <w:sz w:val="24"/>
          <w:szCs w:val="24"/>
        </w:rPr>
      </w:pPr>
      <w:r w:rsidDel="00000000" w:rsidR="00000000" w:rsidRPr="00000000">
        <w:rPr>
          <w:i w:val="1"/>
          <w:sz w:val="24"/>
          <w:szCs w:val="24"/>
          <w:rtl w:val="0"/>
        </w:rPr>
        <w:t xml:space="preserve">Investasi tersebut bertujuan untuk mempercepat pertumbuhan Mitra10 dalam  mencapai target 100 lokasi di seluruh Indonesia pada 2030</w:t>
      </w:r>
    </w:p>
    <w:p w:rsidR="00000000" w:rsidDel="00000000" w:rsidP="00000000" w:rsidRDefault="00000000" w:rsidRPr="00000000" w14:paraId="00000006">
      <w:pPr>
        <w:jc w:val="both"/>
        <w:rPr>
          <w:sz w:val="24"/>
          <w:szCs w:val="24"/>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b w:val="1"/>
          <w:rtl w:val="0"/>
        </w:rPr>
        <w:t xml:space="preserve">Jakarta, </w:t>
      </w:r>
      <w:r w:rsidDel="00000000" w:rsidR="00000000" w:rsidRPr="00000000">
        <w:rPr>
          <w:b w:val="1"/>
          <w:highlight w:val="yellow"/>
          <w:rtl w:val="0"/>
        </w:rPr>
        <w:t xml:space="preserve">3</w:t>
      </w:r>
      <w:r w:rsidDel="00000000" w:rsidR="00000000" w:rsidRPr="00000000">
        <w:rPr>
          <w:b w:val="1"/>
          <w:rtl w:val="0"/>
        </w:rPr>
        <w:t xml:space="preserve"> Juli 2023</w:t>
      </w:r>
      <w:r w:rsidDel="00000000" w:rsidR="00000000" w:rsidRPr="00000000">
        <w:rPr>
          <w:rtl w:val="0"/>
        </w:rPr>
        <w:t xml:space="preserve"> - </w:t>
      </w:r>
      <w:r w:rsidDel="00000000" w:rsidR="00000000" w:rsidRPr="00000000">
        <w:rPr>
          <w:b w:val="1"/>
          <w:color w:val="ff0000"/>
          <w:rtl w:val="0"/>
        </w:rPr>
        <w:t xml:space="preserve">SCG </w:t>
      </w:r>
      <w:r w:rsidDel="00000000" w:rsidR="00000000" w:rsidRPr="00000000">
        <w:rPr>
          <w:b w:val="1"/>
          <w:rtl w:val="0"/>
        </w:rPr>
        <w:t xml:space="preserve">Retail Holding Company Limited</w:t>
      </w:r>
      <w:r w:rsidDel="00000000" w:rsidR="00000000" w:rsidRPr="00000000">
        <w:rPr>
          <w:rtl w:val="0"/>
        </w:rPr>
        <w:t xml:space="preserve"> (atau “</w:t>
      </w:r>
      <w:r w:rsidDel="00000000" w:rsidR="00000000" w:rsidRPr="00000000">
        <w:rPr>
          <w:b w:val="1"/>
          <w:color w:val="ff0000"/>
          <w:rtl w:val="0"/>
        </w:rPr>
        <w:t xml:space="preserve">SCGRH</w:t>
      </w:r>
      <w:r w:rsidDel="00000000" w:rsidR="00000000" w:rsidRPr="00000000">
        <w:rPr>
          <w:rtl w:val="0"/>
        </w:rPr>
        <w:t xml:space="preserve">”), salah satu anak perusahaan dari perusahaan terkemuka di ASEAN, </w:t>
      </w:r>
      <w:r w:rsidDel="00000000" w:rsidR="00000000" w:rsidRPr="00000000">
        <w:rPr>
          <w:b w:val="1"/>
          <w:color w:val="ff0000"/>
          <w:rtl w:val="0"/>
        </w:rPr>
        <w:t xml:space="preserve">SCG</w:t>
      </w:r>
      <w:r w:rsidDel="00000000" w:rsidR="00000000" w:rsidRPr="00000000">
        <w:rPr>
          <w:rtl w:val="0"/>
        </w:rPr>
        <w:t xml:space="preserve">, hari ini mengumumkan investasi terbarunya sebesar Rp265 miliar dalam bentuk pembelian hak memesan efek terlebih dahulu dari </w:t>
      </w:r>
      <w:r w:rsidDel="00000000" w:rsidR="00000000" w:rsidRPr="00000000">
        <w:rPr>
          <w:b w:val="1"/>
          <w:rtl w:val="0"/>
        </w:rPr>
        <w:t xml:space="preserve">PT Catur Sentosa Adiprana Tbk (CSAP)</w:t>
      </w:r>
      <w:r w:rsidDel="00000000" w:rsidR="00000000" w:rsidRPr="00000000">
        <w:rPr>
          <w:rtl w:val="0"/>
        </w:rPr>
        <w:t xml:space="preserve"> yang merupakan distributor independen dan ritel modern terbesar bahan bangunan di Indonesia. Perusahaan menargetkan untuk memperluas toko retailnya, yakni </w:t>
      </w:r>
      <w:r w:rsidDel="00000000" w:rsidR="00000000" w:rsidRPr="00000000">
        <w:rPr>
          <w:b w:val="1"/>
          <w:rtl w:val="0"/>
        </w:rPr>
        <w:t xml:space="preserve">Mitra10</w:t>
      </w:r>
      <w:r w:rsidDel="00000000" w:rsidR="00000000" w:rsidRPr="00000000">
        <w:rPr>
          <w:rtl w:val="0"/>
        </w:rPr>
        <w:t xml:space="preserve">, untuk mencapai 100 lokasi pada tahun 2030.</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b w:val="1"/>
          <w:rtl w:val="0"/>
        </w:rPr>
        <w:t xml:space="preserve">Paramate Nisagornsen, Vice President - Distribution and Retail Business, Cement and Building Material Business </w:t>
      </w:r>
      <w:r w:rsidDel="00000000" w:rsidR="00000000" w:rsidRPr="00000000">
        <w:rPr>
          <w:b w:val="1"/>
          <w:color w:val="ff0000"/>
          <w:rtl w:val="0"/>
        </w:rPr>
        <w:t xml:space="preserve">SCG</w:t>
      </w:r>
      <w:r w:rsidDel="00000000" w:rsidR="00000000" w:rsidRPr="00000000">
        <w:rPr>
          <w:rtl w:val="0"/>
        </w:rPr>
        <w:t xml:space="preserve">, mengatakan, “Sektor perdagangan </w:t>
      </w:r>
      <w:r w:rsidDel="00000000" w:rsidR="00000000" w:rsidRPr="00000000">
        <w:rPr>
          <w:i w:val="1"/>
          <w:rtl w:val="0"/>
        </w:rPr>
        <w:t xml:space="preserve">modern</w:t>
      </w:r>
      <w:r w:rsidDel="00000000" w:rsidR="00000000" w:rsidRPr="00000000">
        <w:rPr>
          <w:rtl w:val="0"/>
        </w:rPr>
        <w:t xml:space="preserve"> di Indonesia terus tumbuh secara substansial berkat pergeseran perilaku konsumen yang mengedepankan pengalaman berbelanja yang bersih, murah, nyaman, dan lengkap (</w:t>
      </w:r>
      <w:r w:rsidDel="00000000" w:rsidR="00000000" w:rsidRPr="00000000">
        <w:rPr>
          <w:i w:val="1"/>
          <w:rtl w:val="0"/>
        </w:rPr>
        <w:t xml:space="preserve">one-stop shopping experience</w:t>
      </w:r>
      <w:r w:rsidDel="00000000" w:rsidR="00000000" w:rsidRPr="00000000">
        <w:rPr>
          <w:rtl w:val="0"/>
        </w:rPr>
        <w:t xml:space="preserve">). Sementara itu, sektor ini hanya menyumbang sebagian kecil dari total pasar, yang artinya masih banyak peluang bagi sektor ini untuk tumbuh. Oleh karena itu, kami sepenuhnya menggunakan hak memesan efek terlebih dahulu (</w:t>
      </w:r>
      <w:r w:rsidDel="00000000" w:rsidR="00000000" w:rsidRPr="00000000">
        <w:rPr>
          <w:i w:val="1"/>
          <w:rtl w:val="0"/>
        </w:rPr>
        <w:t xml:space="preserve">right issue</w:t>
      </w:r>
      <w:r w:rsidDel="00000000" w:rsidR="00000000" w:rsidRPr="00000000">
        <w:rPr>
          <w:rtl w:val="0"/>
        </w:rPr>
        <w:t xml:space="preserve">) untuk membeli saham CSAP yang baru diterbitkan guna memperluas bisnis perdagangan dan ritel </w:t>
      </w:r>
      <w:r w:rsidDel="00000000" w:rsidR="00000000" w:rsidRPr="00000000">
        <w:rPr>
          <w:i w:val="1"/>
          <w:rtl w:val="0"/>
        </w:rPr>
        <w:t xml:space="preserve">modern</w:t>
      </w:r>
      <w:r w:rsidDel="00000000" w:rsidR="00000000" w:rsidRPr="00000000">
        <w:rPr>
          <w:rtl w:val="0"/>
        </w:rPr>
        <w:t xml:space="preserve"> di Indonesia.”</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“Saham yang baru diterbitkan akan memungkinkan CSAP memperluas gerai Mitra10 dari 45 menjadi 100 lokasi di seluruh Indonesia pada tahun 2030, serta meningkatkan efisiensi rantai pasokan. Kami yakin ekspansi ini akan dapat memenuhi permintaan pelanggan yang terus meningkat dan mendorong Mitra10 menjadi </w:t>
      </w:r>
      <w:r w:rsidDel="00000000" w:rsidR="00000000" w:rsidRPr="00000000">
        <w:rPr>
          <w:i w:val="1"/>
          <w:rtl w:val="0"/>
        </w:rPr>
        <w:t xml:space="preserve">Top of Mind Brand</w:t>
      </w:r>
      <w:r w:rsidDel="00000000" w:rsidR="00000000" w:rsidRPr="00000000">
        <w:rPr>
          <w:rtl w:val="0"/>
        </w:rPr>
        <w:t xml:space="preserve"> untuk renovasi rumah bagi masyarakat Indonesia,” ujar Paramate.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bookmarkStart w:colFirst="0" w:colLast="0" w:name="_heading=h.30j0zll" w:id="0"/>
      <w:bookmarkEnd w:id="0"/>
      <w:r w:rsidDel="00000000" w:rsidR="00000000" w:rsidRPr="00000000">
        <w:rPr>
          <w:rtl w:val="0"/>
        </w:rPr>
        <w:t xml:space="preserve">Total dana </w:t>
      </w:r>
      <w:r w:rsidDel="00000000" w:rsidR="00000000" w:rsidRPr="00000000">
        <w:rPr>
          <w:i w:val="1"/>
          <w:rtl w:val="0"/>
        </w:rPr>
        <w:t xml:space="preserve">rights issue</w:t>
      </w:r>
      <w:r w:rsidDel="00000000" w:rsidR="00000000" w:rsidRPr="00000000">
        <w:rPr>
          <w:rtl w:val="0"/>
        </w:rPr>
        <w:t xml:space="preserve"> sebesar </w:t>
      </w:r>
      <w:r w:rsidDel="00000000" w:rsidR="00000000" w:rsidRPr="00000000">
        <w:rPr>
          <w:b w:val="1"/>
          <w:rtl w:val="0"/>
        </w:rPr>
        <w:t xml:space="preserve">Rp857 miliar</w:t>
      </w:r>
      <w:r w:rsidDel="00000000" w:rsidR="00000000" w:rsidRPr="00000000">
        <w:rPr>
          <w:rtl w:val="0"/>
        </w:rPr>
        <w:t xml:space="preserve"> untuk CSAP akan dialokasikan untuk percepatan pertumbuhan gerai Mitra10, ritel </w:t>
      </w:r>
      <w:r w:rsidDel="00000000" w:rsidR="00000000" w:rsidRPr="00000000">
        <w:rPr>
          <w:i w:val="1"/>
          <w:rtl w:val="0"/>
        </w:rPr>
        <w:t xml:space="preserve">modern</w:t>
      </w:r>
      <w:r w:rsidDel="00000000" w:rsidR="00000000" w:rsidRPr="00000000">
        <w:rPr>
          <w:rtl w:val="0"/>
        </w:rPr>
        <w:t xml:space="preserve"> Bahan Bangunan &amp; Perlengkapan Rumah terkemuka di Indonesia.</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Saat ini, SCGRH memegang </w:t>
      </w:r>
      <w:r w:rsidDel="00000000" w:rsidR="00000000" w:rsidRPr="00000000">
        <w:rPr>
          <w:b w:val="1"/>
          <w:rtl w:val="0"/>
        </w:rPr>
        <w:t xml:space="preserve">30,89% saham CSAP</w:t>
      </w:r>
      <w:r w:rsidDel="00000000" w:rsidR="00000000" w:rsidRPr="00000000">
        <w:rPr>
          <w:rtl w:val="0"/>
        </w:rPr>
        <w:t xml:space="preserve">. </w:t>
      </w:r>
      <w:r w:rsidDel="00000000" w:rsidR="00000000" w:rsidRPr="00000000">
        <w:rPr>
          <w:b w:val="1"/>
          <w:rtl w:val="0"/>
        </w:rPr>
        <w:t xml:space="preserve">Total nilai pemesanan SCGRH adalah Rp265 miliar </w:t>
      </w:r>
      <w:r w:rsidDel="00000000" w:rsidR="00000000" w:rsidRPr="00000000">
        <w:rPr>
          <w:rtl w:val="0"/>
        </w:rPr>
        <w:t xml:space="preserve">untuk </w:t>
      </w:r>
      <w:r w:rsidDel="00000000" w:rsidR="00000000" w:rsidRPr="00000000">
        <w:rPr>
          <w:b w:val="1"/>
          <w:rtl w:val="0"/>
        </w:rPr>
        <w:t xml:space="preserve">378.405.192</w:t>
      </w:r>
      <w:r w:rsidDel="00000000" w:rsidR="00000000" w:rsidRPr="00000000">
        <w:rPr>
          <w:rtl w:val="0"/>
        </w:rPr>
        <w:t xml:space="preserve"> </w:t>
      </w:r>
      <w:r w:rsidDel="00000000" w:rsidR="00000000" w:rsidRPr="00000000">
        <w:rPr>
          <w:b w:val="1"/>
          <w:rtl w:val="0"/>
        </w:rPr>
        <w:t xml:space="preserve">saham</w:t>
      </w:r>
      <w:r w:rsidDel="00000000" w:rsidR="00000000" w:rsidRPr="00000000">
        <w:rPr>
          <w:rtl w:val="0"/>
        </w:rPr>
        <w:t xml:space="preserve"> dengan harga Rp700,00 per lembar saham.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t xml:space="preserve">###</w:t>
      </w:r>
    </w:p>
    <w:p w:rsidR="00000000" w:rsidDel="00000000" w:rsidP="00000000" w:rsidRDefault="00000000" w:rsidRPr="00000000" w14:paraId="00000013">
      <w:pPr>
        <w:rPr>
          <w:b w:val="1"/>
          <w:sz w:val="20"/>
          <w:szCs w:val="20"/>
          <w:u w:val="single"/>
        </w:rPr>
      </w:pPr>
      <w:r w:rsidDel="00000000" w:rsidR="00000000" w:rsidRPr="00000000">
        <w:rPr>
          <w:b w:val="1"/>
          <w:sz w:val="20"/>
          <w:szCs w:val="20"/>
          <w:u w:val="single"/>
          <w:rtl w:val="0"/>
        </w:rPr>
        <w:t xml:space="preserve">Tentang SCG</w:t>
      </w:r>
    </w:p>
    <w:p w:rsidR="00000000" w:rsidDel="00000000" w:rsidP="00000000" w:rsidRDefault="00000000" w:rsidRPr="00000000" w14:paraId="00000014">
      <w:pPr>
        <w:rPr>
          <w:b w:val="1"/>
          <w:sz w:val="20"/>
          <w:szCs w:val="20"/>
          <w:u w:val="single"/>
        </w:rPr>
      </w:pPr>
      <w:r w:rsidDel="00000000" w:rsidR="00000000" w:rsidRPr="00000000">
        <w:rPr>
          <w:rtl w:val="0"/>
        </w:rPr>
      </w:r>
    </w:p>
    <w:p w:rsidR="00000000" w:rsidDel="00000000" w:rsidP="00000000" w:rsidRDefault="00000000" w:rsidRPr="00000000" w14:paraId="00000015">
      <w:pPr>
        <w:jc w:val="both"/>
        <w:rPr>
          <w:sz w:val="20"/>
          <w:szCs w:val="20"/>
        </w:rPr>
      </w:pPr>
      <w:r w:rsidDel="00000000" w:rsidR="00000000" w:rsidRPr="00000000">
        <w:rPr>
          <w:sz w:val="20"/>
          <w:szCs w:val="20"/>
          <w:rtl w:val="0"/>
        </w:rPr>
        <w:t xml:space="preserve">SCG merupakan salah satu pemimpin bisnis terkemuka di ASEAN, yang menjalankan bisnis sesuai dengan prinsip ESG dan tujuan pembangunan berkelanjutan di bidang ekonomi, masyarakat, dan lingkungan yang didukung oleh tata kelola yang baik. SCG terdiri dari tiga bisnis utama, yakni </w:t>
      </w:r>
      <w:r w:rsidDel="00000000" w:rsidR="00000000" w:rsidRPr="00000000">
        <w:rPr>
          <w:i w:val="1"/>
          <w:sz w:val="20"/>
          <w:szCs w:val="20"/>
          <w:rtl w:val="0"/>
        </w:rPr>
        <w:t xml:space="preserve">Cement-Building Materials, Chemicals, &amp; Packaging</w:t>
      </w:r>
      <w:r w:rsidDel="00000000" w:rsidR="00000000" w:rsidRPr="00000000">
        <w:rPr>
          <w:sz w:val="20"/>
          <w:szCs w:val="20"/>
          <w:rtl w:val="0"/>
        </w:rPr>
        <w:t xml:space="preserve">. SCG berusaha untuk menjawab beragam kebutuhan pelanggan melalui pengembangan kemitraan kolaboratif serta pengembangan produk, layanan, dan solusi yang inovatif.</w:t>
      </w:r>
    </w:p>
    <w:p w:rsidR="00000000" w:rsidDel="00000000" w:rsidP="00000000" w:rsidRDefault="00000000" w:rsidRPr="00000000" w14:paraId="00000016">
      <w:pPr>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7">
      <w:pPr>
        <w:jc w:val="both"/>
        <w:rPr>
          <w:sz w:val="20"/>
          <w:szCs w:val="20"/>
        </w:rPr>
      </w:pPr>
      <w:bookmarkStart w:colFirst="0" w:colLast="0" w:name="_heading=h.gjdgxs" w:id="1"/>
      <w:bookmarkEnd w:id="1"/>
      <w:r w:rsidDel="00000000" w:rsidR="00000000" w:rsidRPr="00000000">
        <w:rPr>
          <w:sz w:val="20"/>
          <w:szCs w:val="20"/>
          <w:rtl w:val="0"/>
        </w:rPr>
        <w:t xml:space="preserve">SCG mulai beroperasi di Indonesia pada tahun 1992 dengan bisnis perdagangan (</w:t>
      </w:r>
      <w:r w:rsidDel="00000000" w:rsidR="00000000" w:rsidRPr="00000000">
        <w:rPr>
          <w:i w:val="1"/>
          <w:sz w:val="20"/>
          <w:szCs w:val="20"/>
          <w:rtl w:val="0"/>
        </w:rPr>
        <w:t xml:space="preserve">trading</w:t>
      </w:r>
      <w:r w:rsidDel="00000000" w:rsidR="00000000" w:rsidRPr="00000000">
        <w:rPr>
          <w:sz w:val="20"/>
          <w:szCs w:val="20"/>
          <w:rtl w:val="0"/>
        </w:rPr>
        <w:t xml:space="preserve">) dan secara bertahap memperluas investasinya ke industri lain seperti </w:t>
      </w:r>
      <w:r w:rsidDel="00000000" w:rsidR="00000000" w:rsidRPr="00000000">
        <w:rPr>
          <w:i w:val="1"/>
          <w:sz w:val="20"/>
          <w:szCs w:val="20"/>
          <w:rtl w:val="0"/>
        </w:rPr>
        <w:t xml:space="preserve">Cement-Building Materials, Chemicals, &amp; Packaging</w:t>
      </w:r>
      <w:r w:rsidDel="00000000" w:rsidR="00000000" w:rsidRPr="00000000">
        <w:rPr>
          <w:sz w:val="20"/>
          <w:szCs w:val="20"/>
          <w:rtl w:val="0"/>
        </w:rPr>
        <w:t xml:space="preserve">. Saat ini, SCG memiliki 36 perusahaan di seluruh Indonesia dengan lebih dari 9.000 karyawan, sehingga dapat menawarkan berbagai produk dan layanan premium ke pasar Indonesia.</w:t>
      </w:r>
    </w:p>
    <w:p w:rsidR="00000000" w:rsidDel="00000000" w:rsidP="00000000" w:rsidRDefault="00000000" w:rsidRPr="00000000" w14:paraId="00000018">
      <w:pPr>
        <w:jc w:val="both"/>
        <w:rPr>
          <w:b w:val="1"/>
          <w:sz w:val="20"/>
          <w:szCs w:val="20"/>
          <w:u w:val="single"/>
        </w:rPr>
      </w:pPr>
      <w:r w:rsidDel="00000000" w:rsidR="00000000" w:rsidRPr="00000000">
        <w:rPr>
          <w:rtl w:val="0"/>
        </w:rPr>
      </w:r>
    </w:p>
    <w:p w:rsidR="00000000" w:rsidDel="00000000" w:rsidP="00000000" w:rsidRDefault="00000000" w:rsidRPr="00000000" w14:paraId="00000019">
      <w:pPr>
        <w:jc w:val="both"/>
        <w:rPr>
          <w:b w:val="1"/>
          <w:sz w:val="20"/>
          <w:szCs w:val="20"/>
          <w:u w:val="single"/>
        </w:rPr>
      </w:pPr>
      <w:r w:rsidDel="00000000" w:rsidR="00000000" w:rsidRPr="00000000">
        <w:rPr>
          <w:b w:val="1"/>
          <w:sz w:val="20"/>
          <w:szCs w:val="20"/>
          <w:u w:val="single"/>
          <w:rtl w:val="0"/>
        </w:rPr>
        <w:t xml:space="preserve">Tentang CSAP</w:t>
      </w:r>
    </w:p>
    <w:p w:rsidR="00000000" w:rsidDel="00000000" w:rsidP="00000000" w:rsidRDefault="00000000" w:rsidRPr="00000000" w14:paraId="0000001A">
      <w:pPr>
        <w:jc w:val="both"/>
        <w:rPr>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120" w:lineRule="auto"/>
        <w:jc w:val="both"/>
        <w:rPr>
          <w:sz w:val="20"/>
          <w:szCs w:val="20"/>
        </w:rPr>
      </w:pPr>
      <w:r w:rsidDel="00000000" w:rsidR="00000000" w:rsidRPr="00000000">
        <w:rPr>
          <w:sz w:val="20"/>
          <w:szCs w:val="20"/>
          <w:rtl w:val="0"/>
        </w:rPr>
        <w:t xml:space="preserve">CSAP adalah perusahaan Distribusi dan Ritel bahan bangunan terbesar dan independen di Indonesia. Selain bahan bangunan, CSAP juga mendistribusikan </w:t>
      </w:r>
      <w:r w:rsidDel="00000000" w:rsidR="00000000" w:rsidRPr="00000000">
        <w:rPr>
          <w:i w:val="1"/>
          <w:sz w:val="20"/>
          <w:szCs w:val="20"/>
          <w:rtl w:val="0"/>
        </w:rPr>
        <w:t xml:space="preserve">Consumer Goods </w:t>
      </w:r>
      <w:r w:rsidDel="00000000" w:rsidR="00000000" w:rsidRPr="00000000">
        <w:rPr>
          <w:sz w:val="20"/>
          <w:szCs w:val="20"/>
          <w:rtl w:val="0"/>
        </w:rPr>
        <w:t xml:space="preserve">(FMCG) dan produk bahan kimia. CSAP saat ini memiliki 46 Cabang Distribusi Bahan Bangunan di 40 kota besar, 57 Area Distribusi FMCG, 5 Cabang Distribusi Bahan Kimia, 45 outlet </w:t>
      </w:r>
      <w:r w:rsidDel="00000000" w:rsidR="00000000" w:rsidRPr="00000000">
        <w:rPr>
          <w:i w:val="1"/>
          <w:sz w:val="20"/>
          <w:szCs w:val="20"/>
          <w:rtl w:val="0"/>
        </w:rPr>
        <w:t xml:space="preserve">retail modern</w:t>
      </w:r>
      <w:r w:rsidDel="00000000" w:rsidR="00000000" w:rsidRPr="00000000">
        <w:rPr>
          <w:sz w:val="20"/>
          <w:szCs w:val="20"/>
          <w:rtl w:val="0"/>
        </w:rPr>
        <w:t xml:space="preserve"> “Mitra10”, gerai Bahan Bangunan &amp; Perlengkapan Rumah, serta19 Showroom Furniture, “Atria”.</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12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both"/>
        <w:rPr>
          <w:color w:val="000000"/>
          <w:sz w:val="18"/>
          <w:szCs w:val="18"/>
          <w:highlight w:val="white"/>
        </w:rPr>
      </w:pPr>
      <w:r w:rsidDel="00000000" w:rsidR="00000000" w:rsidRPr="00000000">
        <w:rPr>
          <w:color w:val="000000"/>
          <w:sz w:val="18"/>
          <w:szCs w:val="18"/>
          <w:highlight w:val="white"/>
          <w:rtl w:val="0"/>
        </w:rPr>
        <w:t xml:space="preserve">Untuk informasi lebih lanjut silakan menghubungi:</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rPr>
          <w:color w:val="0000ff"/>
          <w:sz w:val="18"/>
          <w:szCs w:val="18"/>
          <w:highlight w:val="white"/>
          <w:u w:val="single"/>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rPr>
          <w:b w:val="1"/>
          <w:color w:val="000000"/>
          <w:sz w:val="18"/>
          <w:szCs w:val="1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rPr>
          <w:b w:val="1"/>
          <w:color w:val="000000"/>
          <w:sz w:val="18"/>
          <w:szCs w:val="18"/>
        </w:rPr>
      </w:pPr>
      <w:r w:rsidDel="00000000" w:rsidR="00000000" w:rsidRPr="00000000">
        <w:rPr>
          <w:b w:val="1"/>
          <w:color w:val="000000"/>
          <w:sz w:val="18"/>
          <w:szCs w:val="18"/>
          <w:rtl w:val="0"/>
        </w:rPr>
        <w:t xml:space="preserve">Novia Kardiyanti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rPr>
          <w:color w:val="000000"/>
          <w:sz w:val="18"/>
          <w:szCs w:val="18"/>
        </w:rPr>
      </w:pPr>
      <w:r w:rsidDel="00000000" w:rsidR="00000000" w:rsidRPr="00000000">
        <w:rPr>
          <w:color w:val="000000"/>
          <w:sz w:val="18"/>
          <w:szCs w:val="18"/>
          <w:rtl w:val="0"/>
        </w:rPr>
        <w:t xml:space="preserve">Brand and Communications – PT SCG Indonesia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60" w:line="240" w:lineRule="auto"/>
        <w:rPr>
          <w:rFonts w:ascii="Times New Roman" w:cs="Times New Roman" w:eastAsia="Times New Roman" w:hAnsi="Times New Roman"/>
          <w:color w:val="000000"/>
          <w:sz w:val="24"/>
          <w:szCs w:val="24"/>
        </w:rPr>
      </w:pPr>
      <w:r w:rsidDel="00000000" w:rsidR="00000000" w:rsidRPr="00000000">
        <w:rPr>
          <w:color w:val="000000"/>
          <w:sz w:val="20"/>
          <w:szCs w:val="20"/>
          <w:rtl w:val="0"/>
        </w:rPr>
        <w:t xml:space="preserve">Phone: +62 812 8839 088, email: </w:t>
      </w:r>
      <w:hyperlink r:id="rId7">
        <w:r w:rsidDel="00000000" w:rsidR="00000000" w:rsidRPr="00000000">
          <w:rPr>
            <w:color w:val="0563c1"/>
            <w:sz w:val="20"/>
            <w:szCs w:val="20"/>
            <w:u w:val="single"/>
            <w:rtl w:val="0"/>
          </w:rPr>
          <w:t xml:space="preserve">noviakar@scg.com</w:t>
        </w:r>
      </w:hyperlink>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b w:val="1"/>
          <w:color w:val="000000"/>
          <w:sz w:val="20"/>
          <w:szCs w:val="20"/>
          <w:highlight w:val="yellow"/>
          <w:rtl w:val="0"/>
        </w:rPr>
        <w:t xml:space="preserve">XXXX</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jc w:val="both"/>
        <w:rPr>
          <w:color w:val="000000"/>
          <w:sz w:val="20"/>
          <w:szCs w:val="20"/>
        </w:rPr>
      </w:pPr>
      <w:r w:rsidDel="00000000" w:rsidR="00000000" w:rsidRPr="00000000">
        <w:rPr>
          <w:color w:val="000000"/>
          <w:sz w:val="20"/>
          <w:szCs w:val="20"/>
          <w:highlight w:val="white"/>
          <w:rtl w:val="0"/>
        </w:rPr>
        <w:t xml:space="preserve">XXX –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4"/>
          <w:szCs w:val="24"/>
        </w:rPr>
      </w:pPr>
      <w:r w:rsidDel="00000000" w:rsidR="00000000" w:rsidRPr="00000000">
        <w:rPr>
          <w:color w:val="000000"/>
          <w:sz w:val="20"/>
          <w:szCs w:val="20"/>
          <w:highlight w:val="white"/>
          <w:rtl w:val="0"/>
        </w:rPr>
        <w:t xml:space="preserve">Email: </w:t>
      </w:r>
      <w:hyperlink r:id="rId8">
        <w:r w:rsidDel="00000000" w:rsidR="00000000" w:rsidRPr="00000000">
          <w:rPr>
            <w:color w:val="0000ff"/>
            <w:sz w:val="20"/>
            <w:szCs w:val="20"/>
            <w:highlight w:val="white"/>
            <w:u w:val="single"/>
            <w:rtl w:val="0"/>
          </w:rPr>
          <w:t xml:space="preserve">XXX</w:t>
        </w:r>
      </w:hyperlink>
      <w:r w:rsidDel="00000000" w:rsidR="00000000" w:rsidRPr="00000000">
        <w:rPr>
          <w:rtl w:val="0"/>
        </w:rPr>
      </w:r>
    </w:p>
    <w:p w:rsidR="00000000" w:rsidDel="00000000" w:rsidP="00000000" w:rsidRDefault="00000000" w:rsidRPr="00000000" w14:paraId="00000026">
      <w:pPr>
        <w:spacing w:after="80" w:before="240" w:line="360" w:lineRule="auto"/>
        <w:rPr/>
      </w:pP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pPr>
    <w:r w:rsidDel="00000000" w:rsidR="00000000" w:rsidRPr="00000000">
      <w:rPr/>
      <w:drawing>
        <wp:anchor allowOverlap="1" behindDoc="0" distB="114300" distT="114300" distL="114300" distR="114300" hidden="0" layoutInCell="1" locked="0" relativeHeight="0" simplePos="0">
          <wp:simplePos x="0" y="0"/>
          <wp:positionH relativeFrom="page">
            <wp:posOffset>6134100</wp:posOffset>
          </wp:positionH>
          <wp:positionV relativeFrom="page">
            <wp:posOffset>228600</wp:posOffset>
          </wp:positionV>
          <wp:extent cx="1215354" cy="421005"/>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15354" cy="42100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CE3DC1"/>
    <w:pPr>
      <w:ind w:left="720"/>
      <w:contextualSpacing w:val="1"/>
    </w:pPr>
  </w:style>
  <w:style w:type="character" w:styleId="Hyperlink">
    <w:name w:val="Hyperlink"/>
    <w:basedOn w:val="DefaultParagraphFont"/>
    <w:uiPriority w:val="99"/>
    <w:unhideWhenUsed w:val="1"/>
    <w:rsid w:val="00B00C46"/>
    <w:rPr>
      <w:color w:val="0000ff" w:themeColor="hyperlink"/>
      <w:u w:val="single"/>
    </w:rPr>
  </w:style>
  <w:style w:type="character" w:styleId="UnresolvedMention">
    <w:name w:val="Unresolved Mention"/>
    <w:basedOn w:val="DefaultParagraphFont"/>
    <w:uiPriority w:val="99"/>
    <w:semiHidden w:val="1"/>
    <w:unhideWhenUsed w:val="1"/>
    <w:rsid w:val="00B00C46"/>
    <w:rPr>
      <w:color w:val="605e5c"/>
      <w:shd w:color="auto" w:fill="e1dfdd" w:val="clear"/>
    </w:rPr>
  </w:style>
  <w:style w:type="paragraph" w:styleId="Header">
    <w:name w:val="header"/>
    <w:basedOn w:val="Normal"/>
    <w:link w:val="HeaderChar"/>
    <w:uiPriority w:val="99"/>
    <w:unhideWhenUsed w:val="1"/>
    <w:rsid w:val="00056B02"/>
    <w:pPr>
      <w:tabs>
        <w:tab w:val="center" w:pos="4513"/>
        <w:tab w:val="right" w:pos="9026"/>
      </w:tabs>
      <w:spacing w:line="240" w:lineRule="auto"/>
    </w:pPr>
  </w:style>
  <w:style w:type="character" w:styleId="HeaderChar" w:customStyle="1">
    <w:name w:val="Header Char"/>
    <w:basedOn w:val="DefaultParagraphFont"/>
    <w:link w:val="Header"/>
    <w:uiPriority w:val="99"/>
    <w:rsid w:val="00056B02"/>
  </w:style>
  <w:style w:type="paragraph" w:styleId="Footer">
    <w:name w:val="footer"/>
    <w:basedOn w:val="Normal"/>
    <w:link w:val="FooterChar"/>
    <w:uiPriority w:val="99"/>
    <w:unhideWhenUsed w:val="1"/>
    <w:rsid w:val="00056B02"/>
    <w:pPr>
      <w:tabs>
        <w:tab w:val="center" w:pos="4513"/>
        <w:tab w:val="right" w:pos="9026"/>
      </w:tabs>
      <w:spacing w:line="240" w:lineRule="auto"/>
    </w:pPr>
  </w:style>
  <w:style w:type="character" w:styleId="FooterChar" w:customStyle="1">
    <w:name w:val="Footer Char"/>
    <w:basedOn w:val="DefaultParagraphFont"/>
    <w:link w:val="Footer"/>
    <w:uiPriority w:val="99"/>
    <w:rsid w:val="00056B02"/>
  </w:style>
  <w:style w:type="paragraph" w:styleId="NormalWeb">
    <w:name w:val="Normal (Web)"/>
    <w:basedOn w:val="Normal"/>
    <w:uiPriority w:val="99"/>
    <w:semiHidden w:val="1"/>
    <w:unhideWhenUsed w:val="1"/>
    <w:rsid w:val="003D3FB9"/>
    <w:pPr>
      <w:spacing w:after="100" w:afterAutospacing="1" w:before="100" w:beforeAutospacing="1" w:line="240" w:lineRule="auto"/>
    </w:pPr>
    <w:rPr>
      <w:rFonts w:ascii="Times New Roman" w:cs="Times New Roman" w:eastAsia="Times New Roman" w:hAnsi="Times New Roman"/>
      <w:sz w:val="24"/>
      <w:szCs w:val="24"/>
      <w:lang w:val="en-ID"/>
    </w:rPr>
  </w:style>
  <w:style w:type="paragraph" w:styleId="NoSpacing">
    <w:name w:val="No Spacing"/>
    <w:uiPriority w:val="1"/>
    <w:qFormat w:val="1"/>
    <w:rsid w:val="00C97CFC"/>
    <w:pPr>
      <w:spacing w:line="240" w:lineRule="auto"/>
    </w:pPr>
    <w:rPr>
      <w:rFonts w:asciiTheme="minorHAnsi" w:cstheme="minorBidi" w:eastAsiaTheme="minorHAnsi" w:hAnsiTheme="minorHAnsi"/>
      <w:lang w:eastAsia="en-US" w:val="en-US"/>
    </w:rPr>
  </w:style>
  <w:style w:type="paragraph" w:styleId="Default" w:customStyle="1">
    <w:name w:val="Default"/>
    <w:rsid w:val="00C97CFC"/>
    <w:pPr>
      <w:pBdr>
        <w:top w:space="0" w:sz="0" w:val="nil"/>
        <w:left w:space="0" w:sz="0" w:val="nil"/>
        <w:bottom w:space="0" w:sz="0" w:val="nil"/>
        <w:right w:space="0" w:sz="0" w:val="nil"/>
        <w:between w:space="0" w:sz="0" w:val="nil"/>
        <w:bar w:space="0" w:sz="0" w:val="nil"/>
      </w:pBdr>
      <w:spacing w:line="240" w:lineRule="auto"/>
    </w:pPr>
    <w:rPr>
      <w:rFonts w:ascii="Helvetica Neue" w:cs="Arial Unicode MS" w:eastAsia="Arial Unicode MS" w:hAnsi="Helvetica Neue"/>
      <w:color w:val="000000"/>
      <w:bdr w:space="0" w:sz="0" w:val="nil"/>
      <w:lang w:eastAsia="en-US" w:val="en-US"/>
      <w14:textOutline w14:cap="flat" w14:cmpd="sng" w14:algn="ctr">
        <w14:noFill/>
        <w14:prstDash w14:val="solid"/>
        <w14:bevel/>
      </w14:textOutlin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noviakar@scg.com" TargetMode="External"/><Relationship Id="rId8" Type="http://schemas.openxmlformats.org/officeDocument/2006/relationships/hyperlink" Target="mailto:nissakey@sc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MBbAs23PcneV/PMGQO1WvXDuUQ==">CgMxLjAyCWguMzBqMHpsbDIIaC5namRneHM4AHIhMWYyWkpZOE91SUdRSi1XbDhxaDRzWFVyRy0zQjBmRElC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2023-05-24T01:46:00Z</dcterms:created>
  <dc:creator>Novia Kardiyanti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8a6aab07540f118224e244d93d3cec7d854bb4697e0979ba1d1eb24ecf7e92cb</vt:lpwstr>
  </property>
</Properties>
</file>